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2E" w:rsidRDefault="00D2312E" w:rsidP="00B662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114300" w14:dist="0" w14:dir="0" w14:sx="0" w14:sy="0" w14:kx="0" w14:ky="0" w14:algn="none">
            <w14:srgbClr w14:val="000000"/>
          </w14:shadow>
        </w:rPr>
      </w:pPr>
      <w:r w:rsidRPr="00D2312E">
        <w:rPr>
          <w:rFonts w:ascii="Times New Roman" w:hAnsi="Times New Roman" w:cs="Times New Roman"/>
          <w:color w:val="000000" w:themeColor="text1"/>
          <w:sz w:val="40"/>
          <w:szCs w:val="40"/>
          <w14:shadow w14:blurRad="114300" w14:dist="0" w14:dir="0" w14:sx="0" w14:sy="0" w14:kx="0" w14:ky="0" w14:algn="none">
            <w14:srgbClr w14:val="000000"/>
          </w14:shadow>
        </w:rPr>
        <w:t>Centro de Investigação de Direito Privado da Faculdade de Direito da Universidade de Lisboa</w:t>
      </w:r>
    </w:p>
    <w:p w:rsidR="00D2312E" w:rsidRDefault="00D2312E" w:rsidP="005A7D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</w:p>
    <w:p w:rsidR="004017B0" w:rsidRPr="004017B0" w:rsidRDefault="004017B0" w:rsidP="005A7D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  <w:bookmarkStart w:id="0" w:name="_GoBack"/>
      <w:bookmarkEnd w:id="0"/>
    </w:p>
    <w:p w:rsidR="00D30AD9" w:rsidRPr="004017B0" w:rsidRDefault="007F63BA" w:rsidP="007F63B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56"/>
          <w:szCs w:val="56"/>
          <w14:shadow w14:blurRad="114300" w14:dist="0" w14:dir="0" w14:sx="0" w14:sy="0" w14:kx="0" w14:ky="0" w14:algn="none">
            <w14:srgbClr w14:val="000000"/>
          </w14:shadow>
        </w:rPr>
      </w:pPr>
      <w:r w:rsidRPr="004017B0">
        <w:rPr>
          <w:rFonts w:ascii="Times New Roman" w:hAnsi="Times New Roman" w:cs="Times New Roman"/>
          <w:color w:val="C00000"/>
          <w:sz w:val="56"/>
          <w:szCs w:val="56"/>
        </w:rPr>
        <w:t>O FUTURO DO TRABALHO</w:t>
      </w:r>
      <w:r w:rsidR="004017B0" w:rsidRPr="004017B0">
        <w:rPr>
          <w:rFonts w:ascii="Times New Roman" w:hAnsi="Times New Roman" w:cs="Times New Roman"/>
          <w:color w:val="C00000"/>
          <w:sz w:val="56"/>
          <w:szCs w:val="56"/>
        </w:rPr>
        <w:t xml:space="preserve"> </w:t>
      </w:r>
      <w:r w:rsidRPr="004017B0">
        <w:rPr>
          <w:rFonts w:ascii="Times New Roman" w:hAnsi="Times New Roman" w:cs="Times New Roman"/>
          <w:color w:val="C00000"/>
          <w:sz w:val="56"/>
          <w:szCs w:val="56"/>
        </w:rPr>
        <w:t>NO MUNDO GLOBALIZADO</w:t>
      </w:r>
    </w:p>
    <w:p w:rsidR="004451A4" w:rsidRDefault="004451A4" w:rsidP="00423D4A">
      <w:pPr>
        <w:pStyle w:val="Default"/>
        <w:jc w:val="center"/>
        <w:rPr>
          <w:color w:val="0D0D0D" w:themeColor="text1" w:themeTint="F2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</w:p>
    <w:p w:rsidR="004017B0" w:rsidRPr="004017B0" w:rsidRDefault="004017B0" w:rsidP="00423D4A">
      <w:pPr>
        <w:pStyle w:val="Default"/>
        <w:jc w:val="center"/>
        <w:rPr>
          <w:color w:val="0D0D0D" w:themeColor="text1" w:themeTint="F2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</w:p>
    <w:p w:rsidR="004622C3" w:rsidRPr="004017B0" w:rsidRDefault="007F63BA" w:rsidP="00423D4A">
      <w:pPr>
        <w:pStyle w:val="Default"/>
        <w:jc w:val="center"/>
        <w:rPr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</w:pPr>
      <w:r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>22</w:t>
      </w:r>
      <w:r w:rsidR="005A7DE9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>e</w:t>
      </w:r>
      <w:r w:rsidR="005A7DE9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>23</w:t>
      </w:r>
      <w:r w:rsidR="005A7DE9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 xml:space="preserve"> de </w:t>
      </w:r>
      <w:proofErr w:type="gramStart"/>
      <w:r w:rsidR="005A7DE9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>Janeiro</w:t>
      </w:r>
      <w:proofErr w:type="gramEnd"/>
      <w:r w:rsidR="00D2312E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 xml:space="preserve"> de</w:t>
      </w:r>
      <w:r w:rsidR="00BE45FC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 xml:space="preserve"> 201</w:t>
      </w:r>
      <w:r w:rsidR="005A7DE9" w:rsidRPr="004017B0">
        <w:rPr>
          <w:i/>
          <w:color w:val="0D0D0D" w:themeColor="text1" w:themeTint="F2"/>
          <w:sz w:val="52"/>
          <w:szCs w:val="52"/>
          <w14:shadow w14:blurRad="114300" w14:dist="0" w14:dir="0" w14:sx="0" w14:sy="0" w14:kx="0" w14:ky="0" w14:algn="none">
            <w14:srgbClr w14:val="000000"/>
          </w14:shadow>
        </w:rPr>
        <w:t>8</w:t>
      </w:r>
    </w:p>
    <w:p w:rsidR="00D2312E" w:rsidRDefault="00D2312E" w:rsidP="005A7DE9">
      <w:pPr>
        <w:pStyle w:val="Default"/>
        <w:jc w:val="center"/>
        <w:rPr>
          <w:i/>
          <w:color w:val="0D0D0D" w:themeColor="text1" w:themeTint="F2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</w:p>
    <w:p w:rsidR="004017B0" w:rsidRPr="004017B0" w:rsidRDefault="004017B0" w:rsidP="005A7DE9">
      <w:pPr>
        <w:pStyle w:val="Default"/>
        <w:jc w:val="center"/>
        <w:rPr>
          <w:i/>
          <w:color w:val="0D0D0D" w:themeColor="text1" w:themeTint="F2"/>
          <w:sz w:val="12"/>
          <w:szCs w:val="12"/>
          <w14:shadow w14:blurRad="114300" w14:dist="0" w14:dir="0" w14:sx="0" w14:sy="0" w14:kx="0" w14:ky="0" w14:algn="none">
            <w14:srgbClr w14:val="000000"/>
          </w14:shadow>
        </w:rPr>
      </w:pPr>
    </w:p>
    <w:p w:rsidR="000C6312" w:rsidRPr="003B18F0" w:rsidRDefault="005A7DE9" w:rsidP="007F63BA">
      <w:pPr>
        <w:spacing w:after="0" w:line="240" w:lineRule="auto"/>
        <w:jc w:val="center"/>
        <w:rPr>
          <w:color w:val="0D0D0D" w:themeColor="text1" w:themeTint="F2"/>
          <w:sz w:val="44"/>
          <w:szCs w:val="44"/>
        </w:rPr>
      </w:pPr>
      <w:r w:rsidRPr="003B18F0">
        <w:rPr>
          <w:rFonts w:ascii="Times New Roman" w:hAnsi="Times New Roman" w:cs="Times New Roman"/>
          <w:color w:val="C00000"/>
          <w:sz w:val="44"/>
          <w:szCs w:val="44"/>
        </w:rPr>
        <w:t>ORGANIZADORES</w:t>
      </w:r>
      <w:r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 xml:space="preserve">: </w:t>
      </w:r>
      <w:proofErr w:type="spellStart"/>
      <w:r w:rsidR="007F63BA"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>Thereza</w:t>
      </w:r>
      <w:proofErr w:type="spellEnd"/>
      <w:r w:rsidR="007F63BA"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 xml:space="preserve"> Christina </w:t>
      </w:r>
      <w:proofErr w:type="spellStart"/>
      <w:r w:rsidR="007F63BA"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>Nahas</w:t>
      </w:r>
      <w:proofErr w:type="spellEnd"/>
      <w:r w:rsidR="003B18F0"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 xml:space="preserve">, </w:t>
      </w:r>
      <w:proofErr w:type="spellStart"/>
      <w:r w:rsidR="003B18F0" w:rsidRPr="003B18F0">
        <w:rPr>
          <w:rFonts w:ascii="Times New Roman" w:hAnsi="Times New Roman" w:cs="Times New Roman"/>
          <w:sz w:val="44"/>
          <w:szCs w:val="44"/>
        </w:rPr>
        <w:t>Yone</w:t>
      </w:r>
      <w:proofErr w:type="spellEnd"/>
      <w:r w:rsidR="003B18F0" w:rsidRPr="003B18F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B18F0" w:rsidRPr="003B18F0">
        <w:rPr>
          <w:rFonts w:ascii="Times New Roman" w:hAnsi="Times New Roman" w:cs="Times New Roman"/>
          <w:sz w:val="44"/>
          <w:szCs w:val="44"/>
        </w:rPr>
        <w:t>Frediani</w:t>
      </w:r>
      <w:proofErr w:type="spellEnd"/>
      <w:r w:rsidR="003B18F0" w:rsidRPr="003B18F0">
        <w:rPr>
          <w:rFonts w:ascii="Times New Roman" w:hAnsi="Times New Roman" w:cs="Times New Roman"/>
          <w:sz w:val="44"/>
          <w:szCs w:val="44"/>
        </w:rPr>
        <w:t xml:space="preserve"> </w:t>
      </w:r>
      <w:r w:rsidRPr="003B18F0">
        <w:rPr>
          <w:rFonts w:ascii="Times New Roman" w:hAnsi="Times New Roman" w:cs="Times New Roman"/>
          <w:color w:val="0D0D0D" w:themeColor="text1" w:themeTint="F2"/>
          <w:sz w:val="44"/>
          <w:szCs w:val="44"/>
        </w:rPr>
        <w:t>&amp; Fernando Araújo</w:t>
      </w:r>
    </w:p>
    <w:p w:rsidR="004017B0" w:rsidRDefault="004017B0" w:rsidP="004017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017B0" w:rsidRPr="00607D70" w:rsidRDefault="004017B0" w:rsidP="004017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3420"/>
      </w:tblGrid>
      <w:tr w:rsidR="004017B0" w:rsidRPr="004017B0" w:rsidTr="004017B0">
        <w:tc>
          <w:tcPr>
            <w:tcW w:w="5000" w:type="pct"/>
            <w:gridSpan w:val="2"/>
            <w:shd w:val="clear" w:color="auto" w:fill="EEECE1" w:themeFill="background2"/>
          </w:tcPr>
          <w:p w:rsidR="004017B0" w:rsidRPr="004017B0" w:rsidRDefault="004017B0" w:rsidP="00B148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 DE </w:t>
            </w:r>
            <w:proofErr w:type="gramStart"/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JANEIRO</w:t>
            </w:r>
            <w:proofErr w:type="gramEnd"/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9:30 &gt; 10:00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Pedro Paulo Teixeira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Manus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“A Reforma Trabalhista Brasileira na Jurisprudência do Tribunal Superior do Trabalho e do Supremo Tribunal Federal”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 &gt; 10:30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Maria José Romero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Rodenas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, “La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Sustentabilidad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del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Sistema Publico de Pensiones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España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10:30 &gt; 11:00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Cesar </w:t>
            </w:r>
            <w:proofErr w:type="spellStart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Santolim</w:t>
            </w:r>
            <w:proofErr w:type="spellEnd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“O Capital Humano na Visão de </w:t>
            </w:r>
            <w:proofErr w:type="spellStart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Gary</w:t>
            </w:r>
            <w:proofErr w:type="spellEnd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Becker”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11:00 &gt; 11:30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Ricardo </w:t>
            </w:r>
            <w:proofErr w:type="spellStart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Lupion</w:t>
            </w:r>
            <w:proofErr w:type="spellEnd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, “Direitos Fundamentais nas Relações de Emprego: Limites e Possibilidades”</w:t>
            </w: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11:30 &gt; 12:00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Norma Sueli Padilha, “Empregos Verdes” 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 &gt; 12:30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Luiz Carlos Amorim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Robortella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“O Direito Coletivo Brasileiro após a Reforma de 2017”</w:t>
            </w:r>
          </w:p>
        </w:tc>
      </w:tr>
      <w:tr w:rsidR="004017B0" w:rsidRPr="004017B0" w:rsidTr="004017B0">
        <w:tc>
          <w:tcPr>
            <w:tcW w:w="5000" w:type="pct"/>
            <w:gridSpan w:val="2"/>
            <w:shd w:val="clear" w:color="auto" w:fill="EEECE1" w:themeFill="background2"/>
          </w:tcPr>
          <w:p w:rsidR="004017B0" w:rsidRPr="004017B0" w:rsidRDefault="004017B0" w:rsidP="00B148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PAUSA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lk489739599"/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14:30 &gt; 15:00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Sílvio Romero Beltrão, “Assédio Moral nas Relações de Trabalho”</w:t>
            </w:r>
          </w:p>
        </w:tc>
      </w:tr>
      <w:bookmarkEnd w:id="1"/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 &gt; 15:30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Pedro Madeira de Brito, “O Princípio do Tratamento Mais Favorável nos Países Lusófonos e os Desafios do Direito do Trabalho”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15:30 &gt; 16:00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Jaime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Cabeza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, “El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Trabajo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Nueva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Economia”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 &gt; 16:30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Gratiela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-Florentina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Moraru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, “Los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Derechos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Comunicación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de los Representantes de los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Trabajadores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España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16:30 &gt; 17:00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Guilherme Damásio Goulart, “Controles Eletrônicos e a Proteção de Dados do Empregado”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 &gt; 17:30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Eduardo Dantas, “O Processualismo Libertário da Justiça do Trabalho”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17:30 &gt; 18:00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Estêvão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Mallet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, “Novidades no Direito do Trabalho Brasileiro” 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&gt; 18:30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Martha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Sittoni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“A Nova Morfologia do Salário no Contrato de Trabalho”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18:30 &gt; 19:00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Joaquín</w:t>
            </w:r>
            <w:proofErr w:type="spellEnd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Aparicio</w:t>
            </w:r>
            <w:proofErr w:type="spellEnd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Tovar</w:t>
            </w: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, “El Futuro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del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Trabajo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que Queremos”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19:00 &gt; 19:30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João Paulo Mendes Neto, “As Relações do Trabalho e o Direito Tributário: Um Direito Fundamental em um Mundo Globalizado”</w:t>
            </w:r>
          </w:p>
        </w:tc>
      </w:tr>
    </w:tbl>
    <w:p w:rsidR="004017B0" w:rsidRPr="004017B0" w:rsidRDefault="004017B0" w:rsidP="00401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3420"/>
      </w:tblGrid>
      <w:tr w:rsidR="004017B0" w:rsidRPr="004017B0" w:rsidTr="004017B0">
        <w:tc>
          <w:tcPr>
            <w:tcW w:w="5000" w:type="pct"/>
            <w:gridSpan w:val="2"/>
            <w:shd w:val="clear" w:color="auto" w:fill="EEECE1" w:themeFill="background2"/>
          </w:tcPr>
          <w:p w:rsidR="004017B0" w:rsidRPr="004017B0" w:rsidRDefault="004017B0" w:rsidP="00B148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DE </w:t>
            </w:r>
            <w:proofErr w:type="gramStart"/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JANEIRO</w:t>
            </w:r>
            <w:proofErr w:type="gramEnd"/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9:30 &gt; 10:00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Fernando Araújo, “Os Problemas de Agência na Relação Laboral”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 &gt; 10:30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Oksandro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Gonçalves, “O Trabalho Tem Futuro num Mundo Globalizado?”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10:30 &gt; 11:00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Irineu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Galeski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Jr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., “Uma Reflexão Acerca das Formas de Tutela para Composição das Lides do Trabalho”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11:00 &gt; 11:30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Yone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Frediani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“A Subordinação Estrutural nos Contratos de Trabalho”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11:30 &gt; 12:00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Leiliane</w:t>
            </w:r>
            <w:proofErr w:type="spellEnd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Vidaletti</w:t>
            </w:r>
            <w:proofErr w:type="spellEnd"/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, “Reforma Laboral de 2017: Terceirização e Responsabilidade Trabalhista no Cenário Brasileiro”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 &gt; 12:30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Eduardo Xavier, “Modificações da Responsabilidade Civil no Direito do Trabalho Brasileiro”</w:t>
            </w:r>
          </w:p>
        </w:tc>
      </w:tr>
      <w:tr w:rsidR="004017B0" w:rsidRPr="004017B0" w:rsidTr="004017B0">
        <w:tc>
          <w:tcPr>
            <w:tcW w:w="5000" w:type="pct"/>
            <w:gridSpan w:val="2"/>
            <w:shd w:val="clear" w:color="auto" w:fill="EEECE1" w:themeFill="background2"/>
          </w:tcPr>
          <w:p w:rsidR="004017B0" w:rsidRPr="004017B0" w:rsidRDefault="004017B0" w:rsidP="00B148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PAUSA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14:30 &gt; 15:00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Luís Gonçalves da Silva, “A Revolução Industrial 4.0 e o Direito do Trabalho”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 &gt; 15:30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Hélio Gomes Coelho, “A Advocacia Trabalhista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Pós</w:t>
            </w:r>
            <w:proofErr w:type="gram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-“</w:t>
            </w:r>
            <w:proofErr w:type="gram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Reforma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””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15:30 &gt; 16:00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Ana </w:t>
            </w:r>
            <w:proofErr w:type="spellStart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Warpechowski</w:t>
            </w:r>
            <w:proofErr w:type="spellEnd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“Inteligência Emocional no Ambiente de Trabalho”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 &gt; 16:30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José Fernando Simão, “Direito Civil e Direito do Trabalho: Diálogo Necessário”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16:30 &gt; 17:00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Ísis </w:t>
            </w:r>
            <w:proofErr w:type="spellStart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Boll</w:t>
            </w:r>
            <w:proofErr w:type="spellEnd"/>
            <w:r w:rsidRPr="004017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Bastos, “A Mediação nos Conflitos Trabalhistas”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 &gt; 17:30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Natércia Siqueira, “Assédio Moral como Política de Gestão: Uma Abordagem Aplicada da Banalidade do Mal”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17:30 &gt; 18:00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Rafael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Miziara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“O Teletrabalho no Marco da Atividade Empresarial Brasileira”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&gt; 18:30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Fernando Fita Ortega, “Los Retos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del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Sindicato y la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Acción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Sindical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en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un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Mundo Globalizado”</w:t>
            </w:r>
          </w:p>
        </w:tc>
      </w:tr>
      <w:tr w:rsidR="004017B0" w:rsidRPr="004017B0" w:rsidTr="004017B0">
        <w:tc>
          <w:tcPr>
            <w:tcW w:w="643" w:type="pct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18:30 &gt; 19:00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Thereza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 xml:space="preserve"> Christina </w:t>
            </w:r>
            <w:proofErr w:type="spellStart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Nahas</w:t>
            </w:r>
            <w:proofErr w:type="spellEnd"/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, “Reflexos sobre o Capital Globalizado nas Relações de Trabalho e a Agenda 2030 da ONU”</w:t>
            </w:r>
          </w:p>
        </w:tc>
      </w:tr>
      <w:tr w:rsidR="004017B0" w:rsidRPr="004017B0" w:rsidTr="004017B0">
        <w:tc>
          <w:tcPr>
            <w:tcW w:w="643" w:type="pct"/>
            <w:shd w:val="clear" w:color="auto" w:fill="EEECE1" w:themeFill="background2"/>
          </w:tcPr>
          <w:p w:rsidR="004017B0" w:rsidRPr="004017B0" w:rsidRDefault="004017B0" w:rsidP="00B14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19:00 &gt; 19:30</w:t>
            </w:r>
          </w:p>
        </w:tc>
        <w:tc>
          <w:tcPr>
            <w:tcW w:w="4357" w:type="pct"/>
          </w:tcPr>
          <w:p w:rsidR="004017B0" w:rsidRPr="004017B0" w:rsidRDefault="004017B0" w:rsidP="00B148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17B0">
              <w:rPr>
                <w:rFonts w:ascii="Times New Roman" w:hAnsi="Times New Roman" w:cs="Times New Roman"/>
                <w:sz w:val="32"/>
                <w:szCs w:val="32"/>
              </w:rPr>
              <w:t>Pedro Romano Martinez, “Conferência de Encerramento”</w:t>
            </w:r>
          </w:p>
        </w:tc>
      </w:tr>
    </w:tbl>
    <w:p w:rsidR="004017B0" w:rsidRPr="004017B0" w:rsidRDefault="004017B0" w:rsidP="004017B0">
      <w:pPr>
        <w:pStyle w:val="Default"/>
        <w:jc w:val="center"/>
        <w:rPr>
          <w:color w:val="0D0D0D" w:themeColor="text1" w:themeTint="F2"/>
          <w:sz w:val="12"/>
          <w:szCs w:val="12"/>
        </w:rPr>
      </w:pPr>
    </w:p>
    <w:sectPr w:rsidR="004017B0" w:rsidRPr="004017B0" w:rsidSect="00966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14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2E" w:rsidRDefault="00674E2E" w:rsidP="002E4394">
      <w:pPr>
        <w:spacing w:after="0" w:line="240" w:lineRule="auto"/>
      </w:pPr>
      <w:r>
        <w:separator/>
      </w:r>
    </w:p>
  </w:endnote>
  <w:endnote w:type="continuationSeparator" w:id="0">
    <w:p w:rsidR="00674E2E" w:rsidRDefault="00674E2E" w:rsidP="002E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16" w:rsidRDefault="00F70D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8"/>
      <w:gridCol w:w="1907"/>
      <w:gridCol w:w="1086"/>
      <w:gridCol w:w="1868"/>
      <w:gridCol w:w="1634"/>
      <w:gridCol w:w="2497"/>
      <w:gridCol w:w="1686"/>
    </w:tblGrid>
    <w:tr w:rsidR="00F70D16" w:rsidTr="00BF14DD">
      <w:trPr>
        <w:jc w:val="center"/>
      </w:trPr>
      <w:tc>
        <w:tcPr>
          <w:tcW w:w="0" w:type="auto"/>
        </w:tcPr>
        <w:p w:rsidR="00F70D16" w:rsidRDefault="00F70D16" w:rsidP="004534D7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01544" cy="985520"/>
                <wp:effectExtent l="0" t="0" r="0" b="508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BDT_vertical 13.08.201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82" cy="101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70D16" w:rsidRDefault="00F70D16" w:rsidP="004534D7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7FD3" wp14:editId="415295B9">
                <wp:extent cx="1073789" cy="895457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uclm_1_colo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10" cy="923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70D16" w:rsidRDefault="00F70D16" w:rsidP="004534D7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1846AC68" wp14:editId="6A50CF38">
                <wp:extent cx="548005" cy="995151"/>
                <wp:effectExtent l="0" t="0" r="444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Lx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94" cy="100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70D16" w:rsidRDefault="00F70D16" w:rsidP="004534D7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92A9573" wp14:editId="31B42B27">
                <wp:extent cx="1049633" cy="775525"/>
                <wp:effectExtent l="0" t="0" r="0" b="5715"/>
                <wp:docPr id="9" name="Imagem 9" descr="C:\Users\Fernando\Desktop\000_RJLB\zzz_Graficos\RIDB_GRAFICO\++++Logotipo FDUL NOVO 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rnando\Desktop\000_RJLB\zzz_Graficos\RIDB_GRAFICO\++++Logotipo FDUL NOVO 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617" cy="782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70D16" w:rsidRDefault="00F70D16" w:rsidP="004534D7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7E850DB" wp14:editId="5672CBA8">
                <wp:extent cx="901034" cy="890824"/>
                <wp:effectExtent l="0" t="0" r="0" b="508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DP_Logo_Branco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794" cy="902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F70D16" w:rsidRDefault="00F70D16" w:rsidP="004534D7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CFBCDAB" wp14:editId="330DC03C">
                <wp:extent cx="1448791" cy="9588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IAP 2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297" cy="97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F70D16" w:rsidRDefault="00F70D16" w:rsidP="004534D7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949098" wp14:editId="2B7BE60B">
                <wp:extent cx="931280" cy="928370"/>
                <wp:effectExtent l="0" t="0" r="2540" b="508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lo 100 anos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128" cy="947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E4394" w:rsidRDefault="002E43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16" w:rsidRDefault="00F70D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2E" w:rsidRDefault="00674E2E" w:rsidP="002E4394">
      <w:pPr>
        <w:spacing w:after="0" w:line="240" w:lineRule="auto"/>
      </w:pPr>
      <w:r>
        <w:separator/>
      </w:r>
    </w:p>
  </w:footnote>
  <w:footnote w:type="continuationSeparator" w:id="0">
    <w:p w:rsidR="00674E2E" w:rsidRDefault="00674E2E" w:rsidP="002E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16" w:rsidRDefault="00F70D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16" w:rsidRDefault="00F70D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16" w:rsidRDefault="00F70D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5D6"/>
    <w:multiLevelType w:val="hybridMultilevel"/>
    <w:tmpl w:val="EAE04A1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97"/>
    <w:rsid w:val="00005AFE"/>
    <w:rsid w:val="00013384"/>
    <w:rsid w:val="0001679A"/>
    <w:rsid w:val="00020BC0"/>
    <w:rsid w:val="00051523"/>
    <w:rsid w:val="000536F3"/>
    <w:rsid w:val="000607C6"/>
    <w:rsid w:val="000654DC"/>
    <w:rsid w:val="00065A3B"/>
    <w:rsid w:val="0007530F"/>
    <w:rsid w:val="000918C5"/>
    <w:rsid w:val="000A795F"/>
    <w:rsid w:val="000C6312"/>
    <w:rsid w:val="000D5297"/>
    <w:rsid w:val="000D778A"/>
    <w:rsid w:val="0011727F"/>
    <w:rsid w:val="00141599"/>
    <w:rsid w:val="00155655"/>
    <w:rsid w:val="001747A6"/>
    <w:rsid w:val="00181416"/>
    <w:rsid w:val="00196F6D"/>
    <w:rsid w:val="001B3F00"/>
    <w:rsid w:val="001B6A99"/>
    <w:rsid w:val="001C1CFF"/>
    <w:rsid w:val="001D0D0F"/>
    <w:rsid w:val="001D79DF"/>
    <w:rsid w:val="001E072A"/>
    <w:rsid w:val="002061EB"/>
    <w:rsid w:val="00212079"/>
    <w:rsid w:val="002500BE"/>
    <w:rsid w:val="00294F41"/>
    <w:rsid w:val="002E4394"/>
    <w:rsid w:val="00301314"/>
    <w:rsid w:val="00310045"/>
    <w:rsid w:val="00317F50"/>
    <w:rsid w:val="00321B91"/>
    <w:rsid w:val="00381A14"/>
    <w:rsid w:val="003A6462"/>
    <w:rsid w:val="003B18F0"/>
    <w:rsid w:val="003C726B"/>
    <w:rsid w:val="003E2368"/>
    <w:rsid w:val="003E3CF2"/>
    <w:rsid w:val="003E7BC9"/>
    <w:rsid w:val="004017B0"/>
    <w:rsid w:val="004238FE"/>
    <w:rsid w:val="00423D4A"/>
    <w:rsid w:val="00436900"/>
    <w:rsid w:val="004451A4"/>
    <w:rsid w:val="004534D7"/>
    <w:rsid w:val="004622C3"/>
    <w:rsid w:val="00472FA6"/>
    <w:rsid w:val="00496EDD"/>
    <w:rsid w:val="00497156"/>
    <w:rsid w:val="004A39D7"/>
    <w:rsid w:val="004B16EB"/>
    <w:rsid w:val="004B3AF4"/>
    <w:rsid w:val="004C6789"/>
    <w:rsid w:val="004E1572"/>
    <w:rsid w:val="005036E4"/>
    <w:rsid w:val="0053499A"/>
    <w:rsid w:val="00540AD6"/>
    <w:rsid w:val="00540FCF"/>
    <w:rsid w:val="005432C1"/>
    <w:rsid w:val="00546D7D"/>
    <w:rsid w:val="005743BB"/>
    <w:rsid w:val="005748EA"/>
    <w:rsid w:val="00591FEE"/>
    <w:rsid w:val="005934AB"/>
    <w:rsid w:val="005A7873"/>
    <w:rsid w:val="005A7DE9"/>
    <w:rsid w:val="005D3955"/>
    <w:rsid w:val="005F4667"/>
    <w:rsid w:val="006162DC"/>
    <w:rsid w:val="00623B7D"/>
    <w:rsid w:val="006732AD"/>
    <w:rsid w:val="006734DE"/>
    <w:rsid w:val="00674E2E"/>
    <w:rsid w:val="006859FE"/>
    <w:rsid w:val="006A78BB"/>
    <w:rsid w:val="006C0629"/>
    <w:rsid w:val="006C15C1"/>
    <w:rsid w:val="006E02F9"/>
    <w:rsid w:val="007020D0"/>
    <w:rsid w:val="00710F76"/>
    <w:rsid w:val="00723936"/>
    <w:rsid w:val="00734FE2"/>
    <w:rsid w:val="00764C95"/>
    <w:rsid w:val="007657CF"/>
    <w:rsid w:val="00772AAB"/>
    <w:rsid w:val="00774184"/>
    <w:rsid w:val="0078234D"/>
    <w:rsid w:val="007A091D"/>
    <w:rsid w:val="007A550D"/>
    <w:rsid w:val="007A69A7"/>
    <w:rsid w:val="007B549C"/>
    <w:rsid w:val="007B6494"/>
    <w:rsid w:val="007C311C"/>
    <w:rsid w:val="007F63BA"/>
    <w:rsid w:val="00830101"/>
    <w:rsid w:val="008328DF"/>
    <w:rsid w:val="008364D9"/>
    <w:rsid w:val="008631E5"/>
    <w:rsid w:val="0086422F"/>
    <w:rsid w:val="00895D3F"/>
    <w:rsid w:val="008B2F83"/>
    <w:rsid w:val="008B3819"/>
    <w:rsid w:val="008B6761"/>
    <w:rsid w:val="008F6AFE"/>
    <w:rsid w:val="008F6F23"/>
    <w:rsid w:val="009003CF"/>
    <w:rsid w:val="00902D20"/>
    <w:rsid w:val="009314C1"/>
    <w:rsid w:val="00940AE8"/>
    <w:rsid w:val="0094517A"/>
    <w:rsid w:val="00966E08"/>
    <w:rsid w:val="00983724"/>
    <w:rsid w:val="00986FB9"/>
    <w:rsid w:val="009B0DF0"/>
    <w:rsid w:val="009D15EB"/>
    <w:rsid w:val="009E4B57"/>
    <w:rsid w:val="009F3AE1"/>
    <w:rsid w:val="00A55A89"/>
    <w:rsid w:val="00A854D5"/>
    <w:rsid w:val="00A86183"/>
    <w:rsid w:val="00AB3A75"/>
    <w:rsid w:val="00AC688E"/>
    <w:rsid w:val="00AE6755"/>
    <w:rsid w:val="00B1117D"/>
    <w:rsid w:val="00B14E10"/>
    <w:rsid w:val="00B301F3"/>
    <w:rsid w:val="00B3171D"/>
    <w:rsid w:val="00B47AFB"/>
    <w:rsid w:val="00B64837"/>
    <w:rsid w:val="00B64EE8"/>
    <w:rsid w:val="00B662A4"/>
    <w:rsid w:val="00B825F9"/>
    <w:rsid w:val="00B85EFF"/>
    <w:rsid w:val="00BB7ECC"/>
    <w:rsid w:val="00BD37AA"/>
    <w:rsid w:val="00BE45FC"/>
    <w:rsid w:val="00BE7A30"/>
    <w:rsid w:val="00C20D14"/>
    <w:rsid w:val="00C302B2"/>
    <w:rsid w:val="00C37EFA"/>
    <w:rsid w:val="00C43E7C"/>
    <w:rsid w:val="00C5622B"/>
    <w:rsid w:val="00C83489"/>
    <w:rsid w:val="00C840AB"/>
    <w:rsid w:val="00C96BB6"/>
    <w:rsid w:val="00CC088D"/>
    <w:rsid w:val="00CE05B0"/>
    <w:rsid w:val="00CF077F"/>
    <w:rsid w:val="00CF6BDD"/>
    <w:rsid w:val="00D2312E"/>
    <w:rsid w:val="00D261DC"/>
    <w:rsid w:val="00D30AD9"/>
    <w:rsid w:val="00D4254F"/>
    <w:rsid w:val="00E3774E"/>
    <w:rsid w:val="00E40000"/>
    <w:rsid w:val="00E53DEA"/>
    <w:rsid w:val="00E54C6B"/>
    <w:rsid w:val="00E76290"/>
    <w:rsid w:val="00E916B8"/>
    <w:rsid w:val="00EB1C07"/>
    <w:rsid w:val="00EB4E83"/>
    <w:rsid w:val="00ED5B37"/>
    <w:rsid w:val="00F06F2A"/>
    <w:rsid w:val="00F1055D"/>
    <w:rsid w:val="00F15D01"/>
    <w:rsid w:val="00F15FE3"/>
    <w:rsid w:val="00F70D16"/>
    <w:rsid w:val="00F71A9F"/>
    <w:rsid w:val="00F7380B"/>
    <w:rsid w:val="00F940B1"/>
    <w:rsid w:val="00FA1EF3"/>
    <w:rsid w:val="00FC403C"/>
    <w:rsid w:val="00FD2AE2"/>
    <w:rsid w:val="00FE3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0665D"/>
  <w15:docId w15:val="{D42FCEA1-2C8C-4CC9-8434-1FA561B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52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00BE"/>
    <w:pPr>
      <w:ind w:left="720"/>
      <w:contextualSpacing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39"/>
    <w:rsid w:val="0025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E2368"/>
    <w:rPr>
      <w:color w:val="0000FF"/>
      <w:u w:val="single"/>
    </w:rPr>
  </w:style>
  <w:style w:type="character" w:customStyle="1" w:styleId="eudoraheader">
    <w:name w:val="eudoraheader"/>
    <w:basedOn w:val="Tipodeletrapredefinidodopargrafo"/>
    <w:rsid w:val="00830101"/>
  </w:style>
  <w:style w:type="paragraph" w:customStyle="1" w:styleId="Default">
    <w:name w:val="Default"/>
    <w:rsid w:val="00423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E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4394"/>
  </w:style>
  <w:style w:type="paragraph" w:styleId="Rodap">
    <w:name w:val="footer"/>
    <w:basedOn w:val="Normal"/>
    <w:link w:val="RodapCarter"/>
    <w:uiPriority w:val="99"/>
    <w:unhideWhenUsed/>
    <w:rsid w:val="002E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4394"/>
  </w:style>
  <w:style w:type="character" w:styleId="MenoNoResolvida">
    <w:name w:val="Unresolved Mention"/>
    <w:basedOn w:val="Tipodeletrapredefinidodopargrafo"/>
    <w:uiPriority w:val="99"/>
    <w:semiHidden/>
    <w:unhideWhenUsed/>
    <w:rsid w:val="005A7D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Direito</dc:creator>
  <cp:lastModifiedBy>Fernando Araujo</cp:lastModifiedBy>
  <cp:revision>3</cp:revision>
  <cp:lastPrinted>2016-08-29T14:59:00Z</cp:lastPrinted>
  <dcterms:created xsi:type="dcterms:W3CDTF">2017-11-17T20:41:00Z</dcterms:created>
  <dcterms:modified xsi:type="dcterms:W3CDTF">2017-11-17T20:50:00Z</dcterms:modified>
</cp:coreProperties>
</file>